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3A5" w:rsidRPr="007A4A8C" w:rsidRDefault="00EC03A5" w:rsidP="007A4A8C">
      <w:pPr>
        <w:spacing w:after="0"/>
        <w:rPr>
          <w:b/>
        </w:rPr>
      </w:pPr>
    </w:p>
    <w:p w:rsidR="009F6E48" w:rsidRPr="007A4A8C" w:rsidRDefault="009F6E48" w:rsidP="009F6E48">
      <w:pPr>
        <w:spacing w:after="0"/>
        <w:rPr>
          <w:b/>
        </w:rPr>
      </w:pPr>
    </w:p>
    <w:p w:rsidR="009F6E48" w:rsidRPr="009F6E48" w:rsidRDefault="009F6E48" w:rsidP="009F6E48">
      <w:pPr>
        <w:pStyle w:val="ListParagraph"/>
        <w:numPr>
          <w:ilvl w:val="0"/>
          <w:numId w:val="1"/>
        </w:numPr>
        <w:spacing w:after="0"/>
        <w:rPr>
          <w:color w:val="000000" w:themeColor="text1"/>
        </w:rPr>
      </w:pPr>
      <w:r w:rsidRPr="009F6E48">
        <w:rPr>
          <w:color w:val="000000" w:themeColor="text1"/>
        </w:rPr>
        <w:t>Working group name:</w:t>
      </w:r>
    </w:p>
    <w:p w:rsidR="009F6E48" w:rsidRPr="009F6E48" w:rsidRDefault="009F6E48" w:rsidP="009F6E48">
      <w:pPr>
        <w:spacing w:after="0"/>
        <w:rPr>
          <w:color w:val="000000" w:themeColor="text1"/>
        </w:rPr>
      </w:pPr>
    </w:p>
    <w:p w:rsidR="009F6E48" w:rsidRPr="004402A9" w:rsidRDefault="009F6E48" w:rsidP="009F6E48">
      <w:pPr>
        <w:pStyle w:val="ListParagraph"/>
        <w:spacing w:after="0"/>
        <w:jc w:val="both"/>
        <w:rPr>
          <w:i/>
          <w:color w:val="5B9BD5" w:themeColor="accent1"/>
        </w:rPr>
      </w:pPr>
      <w:r w:rsidRPr="004402A9">
        <w:rPr>
          <w:i/>
          <w:color w:val="5B9BD5" w:themeColor="accent1"/>
        </w:rPr>
        <w:t xml:space="preserve">Consumer Safety, Education and Health </w:t>
      </w:r>
    </w:p>
    <w:p w:rsidR="009F6E48" w:rsidRPr="009F6E48" w:rsidRDefault="009F6E48" w:rsidP="009F6E48">
      <w:pPr>
        <w:pStyle w:val="ListParagraph"/>
        <w:spacing w:after="0"/>
        <w:rPr>
          <w:color w:val="000000" w:themeColor="text1"/>
        </w:rPr>
      </w:pPr>
    </w:p>
    <w:p w:rsidR="009F6E48" w:rsidRPr="009F6E48" w:rsidRDefault="009F6E48" w:rsidP="009F6E48">
      <w:pPr>
        <w:pStyle w:val="ListParagraph"/>
        <w:numPr>
          <w:ilvl w:val="0"/>
          <w:numId w:val="1"/>
        </w:numPr>
        <w:spacing w:after="0"/>
        <w:rPr>
          <w:color w:val="000000" w:themeColor="text1"/>
        </w:rPr>
      </w:pPr>
      <w:r w:rsidRPr="009F6E48">
        <w:rPr>
          <w:color w:val="000000" w:themeColor="text1"/>
        </w:rPr>
        <w:t xml:space="preserve">Individual sponsor(s): </w:t>
      </w:r>
    </w:p>
    <w:p w:rsidR="009F6E48" w:rsidRPr="009F6E48" w:rsidRDefault="009F6E48" w:rsidP="009F6E48">
      <w:pPr>
        <w:spacing w:after="0"/>
        <w:ind w:left="720"/>
        <w:rPr>
          <w:color w:val="000000" w:themeColor="text1"/>
        </w:rPr>
      </w:pPr>
    </w:p>
    <w:p w:rsidR="009F6E48" w:rsidRPr="004402A9" w:rsidRDefault="009F6E48" w:rsidP="009F6E48">
      <w:pPr>
        <w:spacing w:after="0"/>
        <w:ind w:left="720"/>
        <w:jc w:val="both"/>
        <w:rPr>
          <w:i/>
          <w:color w:val="5B9BD5" w:themeColor="accent1"/>
        </w:rPr>
      </w:pPr>
      <w:r w:rsidRPr="004402A9">
        <w:rPr>
          <w:i/>
          <w:color w:val="5B9BD5" w:themeColor="accent1"/>
        </w:rPr>
        <w:t>Joe Hardy, Nevada Senate</w:t>
      </w:r>
    </w:p>
    <w:p w:rsidR="009F6E48" w:rsidRPr="004402A9" w:rsidRDefault="009F6E48" w:rsidP="009F6E48">
      <w:pPr>
        <w:spacing w:after="0"/>
        <w:ind w:left="720"/>
        <w:jc w:val="both"/>
        <w:rPr>
          <w:i/>
          <w:color w:val="5B9BD5" w:themeColor="accent1"/>
        </w:rPr>
      </w:pPr>
      <w:r w:rsidRPr="004402A9">
        <w:rPr>
          <w:i/>
          <w:color w:val="5B9BD5" w:themeColor="accent1"/>
        </w:rPr>
        <w:t>Joe Iser, Chief Health Officer, Southern Nevada Health District</w:t>
      </w:r>
    </w:p>
    <w:p w:rsidR="009F6E48" w:rsidRPr="004402A9" w:rsidRDefault="009F6E48" w:rsidP="009F6E48">
      <w:pPr>
        <w:ind w:firstLine="720"/>
        <w:jc w:val="both"/>
        <w:rPr>
          <w:i/>
          <w:color w:val="5B9BD5" w:themeColor="accent1"/>
        </w:rPr>
      </w:pPr>
      <w:r w:rsidRPr="004402A9">
        <w:rPr>
          <w:i/>
          <w:color w:val="5B9BD5" w:themeColor="accent1"/>
        </w:rPr>
        <w:t>Dr. John DiMuro, Chief Medical Officer, NV Dept. of Health and Human Services</w:t>
      </w:r>
    </w:p>
    <w:p w:rsidR="000B01A4" w:rsidRPr="003110FB" w:rsidRDefault="000B01A4" w:rsidP="000B01A4">
      <w:pPr>
        <w:spacing w:after="0"/>
      </w:pPr>
    </w:p>
    <w:p w:rsidR="000B01A4" w:rsidRDefault="00DC4C91" w:rsidP="000B01A4">
      <w:pPr>
        <w:pStyle w:val="ListParagraph"/>
        <w:numPr>
          <w:ilvl w:val="0"/>
          <w:numId w:val="1"/>
        </w:numPr>
        <w:spacing w:after="0"/>
      </w:pPr>
      <w:r>
        <w:t>Describe the r</w:t>
      </w:r>
      <w:r w:rsidR="000B01A4" w:rsidRPr="003110FB">
        <w:t>ecommendation:</w:t>
      </w:r>
    </w:p>
    <w:p w:rsidR="009F6E48" w:rsidRDefault="009F6E48" w:rsidP="009F6E48">
      <w:pPr>
        <w:spacing w:after="0"/>
      </w:pPr>
    </w:p>
    <w:p w:rsidR="009F6E48" w:rsidRPr="004402A9" w:rsidRDefault="00B854AE" w:rsidP="004402A9">
      <w:pPr>
        <w:spacing w:after="0"/>
        <w:ind w:left="720"/>
        <w:jc w:val="both"/>
        <w:rPr>
          <w:i/>
          <w:color w:val="5B9BD5" w:themeColor="accent1"/>
        </w:rPr>
      </w:pPr>
      <w:r w:rsidRPr="004402A9">
        <w:rPr>
          <w:i/>
          <w:color w:val="5B9BD5" w:themeColor="accent1"/>
        </w:rPr>
        <w:t>The Nevada banking systems needs re-tooling or NRS implementation of banking authority for both medical and recreational marijuana.</w:t>
      </w:r>
      <w:r w:rsidR="00934B5C" w:rsidRPr="004402A9">
        <w:rPr>
          <w:i/>
          <w:color w:val="5B9BD5" w:themeColor="accent1"/>
        </w:rPr>
        <w:t xml:space="preserve">  This recommendation will help to assure that the marijuana industry is competitive compared to other states, where recreational marijuana is legal to varying degrees.  This will also help to undermine the black market and illegal cartel action.  As Colorado moves to protect its industry by developing laws and regulations that would convert recreational marijuana vendors into medical marijuana vendors, Nevada should consider the same.</w:t>
      </w:r>
    </w:p>
    <w:p w:rsidR="00E9081E" w:rsidRPr="003110FB" w:rsidRDefault="00E9081E" w:rsidP="00E9081E">
      <w:pPr>
        <w:pStyle w:val="ListParagraph"/>
        <w:spacing w:after="0"/>
      </w:pPr>
    </w:p>
    <w:p w:rsidR="00E9081E" w:rsidRDefault="00DC4C91" w:rsidP="00E9081E">
      <w:pPr>
        <w:pStyle w:val="ListParagraph"/>
        <w:numPr>
          <w:ilvl w:val="0"/>
          <w:numId w:val="1"/>
        </w:numPr>
        <w:spacing w:after="0"/>
      </w:pPr>
      <w:r>
        <w:t>Which guiding p</w:t>
      </w:r>
      <w:r w:rsidR="00E9081E" w:rsidRPr="003110FB">
        <w:t>rinciple(s) does this recommendation support?</w:t>
      </w:r>
    </w:p>
    <w:p w:rsidR="004402A9" w:rsidRDefault="004402A9" w:rsidP="00934B5C">
      <w:pPr>
        <w:tabs>
          <w:tab w:val="left" w:pos="8613"/>
        </w:tabs>
        <w:spacing w:after="200" w:line="300" w:lineRule="exact"/>
        <w:ind w:left="720" w:right="693"/>
        <w:jc w:val="both"/>
        <w:rPr>
          <w:rFonts w:ascii="Calibri" w:hAnsi="Calibri"/>
        </w:rPr>
      </w:pPr>
    </w:p>
    <w:p w:rsidR="00934B5C" w:rsidRPr="004402A9" w:rsidRDefault="004402A9" w:rsidP="00934B5C">
      <w:pPr>
        <w:tabs>
          <w:tab w:val="left" w:pos="8613"/>
        </w:tabs>
        <w:spacing w:after="200" w:line="300" w:lineRule="exact"/>
        <w:ind w:left="720" w:right="693"/>
        <w:jc w:val="both"/>
        <w:rPr>
          <w:rFonts w:ascii="Calibri" w:hAnsi="Calibri"/>
          <w:i/>
          <w:color w:val="5B9BD5" w:themeColor="accent1"/>
        </w:rPr>
      </w:pPr>
      <w:r w:rsidRPr="004402A9">
        <w:rPr>
          <w:rFonts w:ascii="Calibri" w:hAnsi="Calibri"/>
          <w:i/>
          <w:color w:val="5B9BD5" w:themeColor="accent1"/>
        </w:rPr>
        <w:t xml:space="preserve">Guiding Principle 6 - </w:t>
      </w:r>
      <w:r w:rsidR="00934B5C" w:rsidRPr="004402A9">
        <w:rPr>
          <w:rFonts w:ascii="Calibri" w:hAnsi="Calibri"/>
          <w:i/>
          <w:color w:val="5B9BD5" w:themeColor="accent1"/>
        </w:rPr>
        <w:t>Establish regulations that are clear and practical, so that interactions between law enforcement (at the local, state and federal levels), consumers, and licensees are predictable and understandable</w:t>
      </w:r>
    </w:p>
    <w:p w:rsidR="00934B5C" w:rsidRPr="003110FB" w:rsidRDefault="00934B5C" w:rsidP="00934B5C">
      <w:pPr>
        <w:spacing w:after="0"/>
        <w:ind w:left="720"/>
      </w:pPr>
    </w:p>
    <w:p w:rsidR="00E9081E" w:rsidRPr="003110FB" w:rsidRDefault="00E9081E" w:rsidP="00E9081E">
      <w:pPr>
        <w:pStyle w:val="ListParagraph"/>
        <w:numPr>
          <w:ilvl w:val="0"/>
          <w:numId w:val="1"/>
        </w:numPr>
        <w:spacing w:after="0"/>
      </w:pPr>
      <w:r w:rsidRPr="003110FB">
        <w:t xml:space="preserve">What provision(s) of Question 2 does this recommendation apply to?  </w:t>
      </w:r>
    </w:p>
    <w:p w:rsidR="004402A9" w:rsidRDefault="004402A9" w:rsidP="00E9081E">
      <w:pPr>
        <w:pStyle w:val="ListParagraph"/>
        <w:spacing w:after="0"/>
      </w:pPr>
    </w:p>
    <w:p w:rsidR="00E9081E" w:rsidRPr="004402A9" w:rsidRDefault="00934B5C" w:rsidP="00E9081E">
      <w:pPr>
        <w:pStyle w:val="ListParagraph"/>
        <w:spacing w:after="0"/>
        <w:rPr>
          <w:i/>
          <w:color w:val="5B9BD5" w:themeColor="accent1"/>
        </w:rPr>
      </w:pPr>
      <w:r w:rsidRPr="004402A9">
        <w:rPr>
          <w:i/>
          <w:color w:val="5B9BD5" w:themeColor="accent1"/>
        </w:rPr>
        <w:t>Unsure.  Section 15 Marijuana excise tax.</w:t>
      </w:r>
    </w:p>
    <w:p w:rsidR="00E9081E" w:rsidRPr="003110FB" w:rsidRDefault="00E9081E" w:rsidP="00E9081E">
      <w:pPr>
        <w:pStyle w:val="ListParagraph"/>
        <w:spacing w:after="0"/>
      </w:pPr>
    </w:p>
    <w:p w:rsidR="007A4A8C" w:rsidRDefault="00E9081E" w:rsidP="00E9081E">
      <w:pPr>
        <w:pStyle w:val="ListParagraph"/>
        <w:numPr>
          <w:ilvl w:val="0"/>
          <w:numId w:val="1"/>
        </w:numPr>
        <w:spacing w:after="0"/>
      </w:pPr>
      <w:r w:rsidRPr="003110FB">
        <w:t>What issue(s) does the recommendation resolve?</w:t>
      </w:r>
    </w:p>
    <w:p w:rsidR="004402A9" w:rsidRDefault="004402A9" w:rsidP="004402A9">
      <w:pPr>
        <w:pStyle w:val="ListParagraph"/>
        <w:spacing w:after="0"/>
      </w:pPr>
    </w:p>
    <w:p w:rsidR="007A13D2" w:rsidRPr="007A13D2" w:rsidRDefault="007A13D2" w:rsidP="007A13D2">
      <w:pPr>
        <w:ind w:left="720"/>
        <w:rPr>
          <w:rFonts w:eastAsia="Batang"/>
          <w:color w:val="1F497D"/>
        </w:rPr>
      </w:pPr>
      <w:r w:rsidRPr="004402A9">
        <w:rPr>
          <w:i/>
          <w:color w:val="5B9BD5" w:themeColor="accent1"/>
        </w:rPr>
        <w:t xml:space="preserve">Review the following article: </w:t>
      </w:r>
      <w:r>
        <w:t xml:space="preserve"> </w:t>
      </w:r>
      <w:hyperlink r:id="rId8" w:history="1">
        <w:r w:rsidRPr="00BF322F">
          <w:rPr>
            <w:rStyle w:val="Hyperlink"/>
            <w:rFonts w:eastAsia="Batang" w:hint="eastAsia"/>
          </w:rPr>
          <w:t>https://www.reviewjournal.com/news/pot-news/nevadas-legal-marijuana-industry-faces-banking-problem/</w:t>
        </w:r>
      </w:hyperlink>
    </w:p>
    <w:p w:rsidR="007A13D2" w:rsidRPr="003110FB" w:rsidRDefault="007A13D2" w:rsidP="007A13D2">
      <w:pPr>
        <w:spacing w:after="0"/>
        <w:ind w:left="720"/>
      </w:pPr>
    </w:p>
    <w:p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rsidR="004402A9" w:rsidRDefault="004402A9" w:rsidP="002D4A0A">
      <w:pPr>
        <w:spacing w:after="0"/>
        <w:ind w:left="720"/>
      </w:pPr>
    </w:p>
    <w:p w:rsidR="002D4A0A" w:rsidRPr="004402A9" w:rsidRDefault="002D4A0A" w:rsidP="002D4A0A">
      <w:pPr>
        <w:spacing w:after="0"/>
        <w:ind w:left="720"/>
        <w:rPr>
          <w:i/>
          <w:color w:val="5B9BD5" w:themeColor="accent1"/>
        </w:rPr>
      </w:pPr>
      <w:r w:rsidRPr="004402A9">
        <w:rPr>
          <w:i/>
          <w:color w:val="5B9BD5" w:themeColor="accent1"/>
        </w:rPr>
        <w:t>No.</w:t>
      </w:r>
    </w:p>
    <w:p w:rsidR="00E9081E" w:rsidRPr="003110FB" w:rsidRDefault="00E9081E" w:rsidP="00E9081E">
      <w:pPr>
        <w:spacing w:after="0"/>
      </w:pPr>
    </w:p>
    <w:p w:rsidR="00E9081E" w:rsidRPr="003110FB" w:rsidRDefault="00E9081E" w:rsidP="00E9081E">
      <w:pPr>
        <w:spacing w:after="0"/>
      </w:pPr>
    </w:p>
    <w:p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rsidR="004402A9" w:rsidRDefault="004402A9" w:rsidP="004402A9">
      <w:pPr>
        <w:pStyle w:val="ListParagraph"/>
        <w:spacing w:after="0"/>
      </w:pPr>
    </w:p>
    <w:p w:rsidR="002D4A0A" w:rsidRPr="004402A9" w:rsidRDefault="007A13D2" w:rsidP="002D4A0A">
      <w:pPr>
        <w:pStyle w:val="ListParagraph"/>
        <w:spacing w:after="0"/>
        <w:rPr>
          <w:i/>
          <w:color w:val="5B9BD5" w:themeColor="accent1"/>
        </w:rPr>
      </w:pPr>
      <w:r w:rsidRPr="004402A9">
        <w:rPr>
          <w:i/>
          <w:color w:val="5B9BD5" w:themeColor="accent1"/>
        </w:rPr>
        <w:t>Likely Nevada legislative and administration actions.</w:t>
      </w:r>
    </w:p>
    <w:p w:rsidR="00E9081E" w:rsidRPr="003110FB" w:rsidRDefault="00E9081E" w:rsidP="00E9081E">
      <w:pPr>
        <w:pStyle w:val="ListParagraph"/>
        <w:spacing w:after="0"/>
      </w:pPr>
      <w:bookmarkStart w:id="0" w:name="_GoBack"/>
      <w:bookmarkEnd w:id="0"/>
    </w:p>
    <w:p w:rsidR="00DD1A10" w:rsidRDefault="00CC30A8" w:rsidP="007A4A8C">
      <w:pPr>
        <w:pStyle w:val="ListParagraph"/>
        <w:numPr>
          <w:ilvl w:val="0"/>
          <w:numId w:val="1"/>
        </w:numPr>
        <w:spacing w:after="0"/>
      </w:pPr>
      <w:r w:rsidRPr="003110FB">
        <w:t>Additional information (cost of implementation, priority according to the recommendations, etc)</w:t>
      </w:r>
      <w:r w:rsidR="00B70E4E" w:rsidRPr="003110FB">
        <w:t>.</w:t>
      </w:r>
    </w:p>
    <w:p w:rsidR="004402A9" w:rsidRDefault="004402A9" w:rsidP="004402A9">
      <w:pPr>
        <w:pStyle w:val="ListParagraph"/>
        <w:spacing w:after="0"/>
      </w:pPr>
    </w:p>
    <w:p w:rsidR="002D4A0A" w:rsidRPr="004402A9" w:rsidRDefault="002D4A0A" w:rsidP="002D4A0A">
      <w:pPr>
        <w:spacing w:after="0"/>
        <w:ind w:left="720"/>
        <w:rPr>
          <w:i/>
          <w:color w:val="5B9BD5" w:themeColor="accent1"/>
        </w:rPr>
      </w:pPr>
      <w:r w:rsidRPr="004402A9">
        <w:rPr>
          <w:i/>
          <w:color w:val="5B9BD5" w:themeColor="accent1"/>
        </w:rPr>
        <w:t>Unsure, but likely nothing.</w:t>
      </w:r>
    </w:p>
    <w:p w:rsidR="00753FA6" w:rsidRDefault="00753FA6" w:rsidP="007A4A8C">
      <w:pPr>
        <w:spacing w:after="0"/>
      </w:pPr>
    </w:p>
    <w:p w:rsidR="00CC30A8" w:rsidRPr="003110FB" w:rsidRDefault="00CC30A8" w:rsidP="007A4A8C">
      <w:pPr>
        <w:spacing w:after="0"/>
      </w:pPr>
    </w:p>
    <w:p w:rsidR="00753FA6" w:rsidRPr="00753FA6" w:rsidRDefault="00753FA6" w:rsidP="009201F4">
      <w:pPr>
        <w:spacing w:after="0"/>
        <w:ind w:left="810" w:hanging="90"/>
        <w:rPr>
          <w:b/>
          <w:sz w:val="18"/>
          <w:szCs w:val="18"/>
        </w:rPr>
      </w:pPr>
    </w:p>
    <w:sectPr w:rsidR="00753FA6" w:rsidRPr="00753FA6" w:rsidSect="00424AC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316" w:rsidRDefault="009B0316" w:rsidP="00391997">
      <w:pPr>
        <w:spacing w:after="0" w:line="240" w:lineRule="auto"/>
      </w:pPr>
      <w:r>
        <w:separator/>
      </w:r>
    </w:p>
  </w:endnote>
  <w:endnote w:type="continuationSeparator" w:id="0">
    <w:p w:rsidR="009B0316" w:rsidRDefault="009B0316"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5C" w:rsidRPr="00F43822" w:rsidRDefault="004402A9"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4294967295" distB="4294967295" distL="114300" distR="114300" simplePos="0" relativeHeight="251659264" behindDoc="0" locked="0" layoutInCell="0" allowOverlap="1">
              <wp:simplePos x="0" y="0"/>
              <wp:positionH relativeFrom="column">
                <wp:posOffset>0</wp:posOffset>
              </wp:positionH>
              <wp:positionV relativeFrom="paragraph">
                <wp:posOffset>-36831</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3F90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Pr>
        <w:rFonts w:ascii="Calibri" w:eastAsia="Times New Roman" w:hAnsi="Calibri" w:cs="Times New Roman"/>
        <w:bCs/>
        <w:i/>
        <w:color w:val="3737A5"/>
        <w:sz w:val="16"/>
        <w:szCs w:val="16"/>
      </w:rPr>
      <w:t>Nevada Economy – Banking - Recommendation</w:t>
    </w:r>
    <w:r w:rsidR="00934B5C" w:rsidRPr="00F43822">
      <w:rPr>
        <w:rFonts w:ascii="Calibri" w:eastAsia="Times New Roman" w:hAnsi="Calibri" w:cs="Times New Roman"/>
        <w:bCs/>
        <w:i/>
        <w:color w:val="3737A5"/>
        <w:sz w:val="16"/>
        <w:szCs w:val="16"/>
      </w:rPr>
      <w:tab/>
    </w:r>
    <w:r w:rsidR="00934B5C" w:rsidRPr="00F43822">
      <w:rPr>
        <w:rFonts w:ascii="Calibri" w:eastAsia="Times New Roman" w:hAnsi="Calibri" w:cs="Times New Roman"/>
        <w:bCs/>
        <w:i/>
        <w:color w:val="3737A5"/>
        <w:sz w:val="16"/>
        <w:szCs w:val="16"/>
      </w:rPr>
      <w:tab/>
    </w:r>
    <w:r w:rsidR="00934B5C">
      <w:rPr>
        <w:rFonts w:ascii="Calibri" w:eastAsia="Times New Roman" w:hAnsi="Calibri" w:cs="Times New Roman"/>
        <w:bCs/>
        <w:i/>
        <w:color w:val="3737A5"/>
        <w:sz w:val="16"/>
        <w:szCs w:val="16"/>
      </w:rPr>
      <w:t>March 17, 2017</w:t>
    </w:r>
  </w:p>
  <w:p w:rsidR="00934B5C" w:rsidRPr="00F43822" w:rsidRDefault="00934B5C"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rsidR="00934B5C" w:rsidRDefault="00934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316" w:rsidRDefault="009B0316" w:rsidP="00391997">
      <w:pPr>
        <w:spacing w:after="0" w:line="240" w:lineRule="auto"/>
      </w:pPr>
      <w:r>
        <w:separator/>
      </w:r>
    </w:p>
  </w:footnote>
  <w:footnote w:type="continuationSeparator" w:id="0">
    <w:p w:rsidR="009B0316" w:rsidRDefault="009B0316"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5C" w:rsidRPr="00F43822" w:rsidRDefault="00934B5C" w:rsidP="009F6E48">
    <w:pPr>
      <w:pStyle w:val="Heading2"/>
      <w:ind w:left="0"/>
      <w:jc w:val="center"/>
      <w:rPr>
        <w:sz w:val="22"/>
        <w:szCs w:val="22"/>
      </w:rPr>
    </w:pPr>
    <w:r>
      <w:rPr>
        <w:sz w:val="22"/>
        <w:szCs w:val="22"/>
      </w:rPr>
      <w:t xml:space="preserve">Nevada Economy </w:t>
    </w:r>
    <w:r w:rsidR="004402A9">
      <w:rPr>
        <w:sz w:val="22"/>
        <w:szCs w:val="22"/>
      </w:rPr>
      <w:t>–</w:t>
    </w:r>
    <w:r>
      <w:rPr>
        <w:sz w:val="22"/>
        <w:szCs w:val="22"/>
      </w:rPr>
      <w:t xml:space="preserve"> </w:t>
    </w:r>
    <w:r w:rsidR="004402A9">
      <w:rPr>
        <w:sz w:val="22"/>
        <w:szCs w:val="22"/>
      </w:rPr>
      <w:t xml:space="preserve">Banking - </w:t>
    </w:r>
    <w:r>
      <w:rPr>
        <w:sz w:val="22"/>
        <w:szCs w:val="22"/>
      </w:rPr>
      <w:t>Recommendation</w:t>
    </w:r>
  </w:p>
  <w:p w:rsidR="00934B5C" w:rsidRDefault="00934B5C" w:rsidP="008313F9">
    <w:pPr>
      <w:pStyle w:val="Header"/>
      <w:jc w:val="center"/>
    </w:pPr>
    <w:r>
      <w:rPr>
        <w:noProof/>
      </w:rPr>
      <w:drawing>
        <wp:inline distT="0" distB="0" distL="0" distR="0">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374AD"/>
    <w:multiLevelType w:val="hybridMultilevel"/>
    <w:tmpl w:val="DACC5D74"/>
    <w:lvl w:ilvl="0" w:tplc="E1A06CB6">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60468"/>
    <w:rsid w:val="000A61D0"/>
    <w:rsid w:val="000B01A4"/>
    <w:rsid w:val="00114EF2"/>
    <w:rsid w:val="00141A16"/>
    <w:rsid w:val="001866F9"/>
    <w:rsid w:val="001B0ADC"/>
    <w:rsid w:val="001B10FF"/>
    <w:rsid w:val="00202189"/>
    <w:rsid w:val="00202E4C"/>
    <w:rsid w:val="0023729A"/>
    <w:rsid w:val="002D4A0A"/>
    <w:rsid w:val="003110FB"/>
    <w:rsid w:val="00391997"/>
    <w:rsid w:val="004039AB"/>
    <w:rsid w:val="00424ACF"/>
    <w:rsid w:val="00435662"/>
    <w:rsid w:val="004402A9"/>
    <w:rsid w:val="00442A3F"/>
    <w:rsid w:val="00504EB3"/>
    <w:rsid w:val="00565923"/>
    <w:rsid w:val="005E102D"/>
    <w:rsid w:val="006B0A7E"/>
    <w:rsid w:val="006D4662"/>
    <w:rsid w:val="00700DCA"/>
    <w:rsid w:val="00753FA6"/>
    <w:rsid w:val="007746E2"/>
    <w:rsid w:val="00774894"/>
    <w:rsid w:val="007765FD"/>
    <w:rsid w:val="007A13D2"/>
    <w:rsid w:val="007A4A8C"/>
    <w:rsid w:val="008313F9"/>
    <w:rsid w:val="00882EE9"/>
    <w:rsid w:val="00887531"/>
    <w:rsid w:val="008D5094"/>
    <w:rsid w:val="008F0634"/>
    <w:rsid w:val="009201F4"/>
    <w:rsid w:val="009264B2"/>
    <w:rsid w:val="00934B5C"/>
    <w:rsid w:val="00957E83"/>
    <w:rsid w:val="00961D8A"/>
    <w:rsid w:val="009805E6"/>
    <w:rsid w:val="00996A51"/>
    <w:rsid w:val="009B0316"/>
    <w:rsid w:val="009D1938"/>
    <w:rsid w:val="009F65F5"/>
    <w:rsid w:val="009F6E48"/>
    <w:rsid w:val="00A312E6"/>
    <w:rsid w:val="00A40C4B"/>
    <w:rsid w:val="00A65F54"/>
    <w:rsid w:val="00AB71F7"/>
    <w:rsid w:val="00B11C15"/>
    <w:rsid w:val="00B70E4E"/>
    <w:rsid w:val="00B854AE"/>
    <w:rsid w:val="00BC0B03"/>
    <w:rsid w:val="00BC0F10"/>
    <w:rsid w:val="00BF6BBC"/>
    <w:rsid w:val="00CC23E7"/>
    <w:rsid w:val="00CC30A8"/>
    <w:rsid w:val="00CF7FDD"/>
    <w:rsid w:val="00D22E65"/>
    <w:rsid w:val="00D926ED"/>
    <w:rsid w:val="00DA287B"/>
    <w:rsid w:val="00DC4C91"/>
    <w:rsid w:val="00DD1A10"/>
    <w:rsid w:val="00DE0ABD"/>
    <w:rsid w:val="00E9081E"/>
    <w:rsid w:val="00E96CEA"/>
    <w:rsid w:val="00EC03A5"/>
    <w:rsid w:val="00F046BC"/>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CD90E1F-AA8D-4AFF-83FC-201F7C44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ewjournal.com/news/pot-news/nevadas-legal-marijuana-industry-faces-banking-probl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EC7D1-4532-4AB7-A769-999C437C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2</cp:revision>
  <cp:lastPrinted>2017-03-01T23:42:00Z</cp:lastPrinted>
  <dcterms:created xsi:type="dcterms:W3CDTF">2017-04-07T00:00:00Z</dcterms:created>
  <dcterms:modified xsi:type="dcterms:W3CDTF">2017-04-07T00:00:00Z</dcterms:modified>
</cp:coreProperties>
</file>